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Nunito" w:cs="Nunito" w:eastAsia="Nunito" w:hAnsi="Nunito"/>
          <w:b w:val="1"/>
          <w:sz w:val="32"/>
          <w:szCs w:val="32"/>
        </w:rPr>
      </w:pPr>
      <w:r w:rsidDel="00000000" w:rsidR="00000000" w:rsidRPr="00000000">
        <w:rPr>
          <w:rFonts w:ascii="Nunito" w:cs="Nunito" w:eastAsia="Nunito" w:hAnsi="Nunito"/>
          <w:b w:val="1"/>
          <w:sz w:val="18"/>
          <w:szCs w:val="18"/>
          <w:rtl w:val="0"/>
        </w:rPr>
        <w:t xml:space="preserve">Kategorizimi numerik: </w:t>
        <w:br w:type="textWrapping"/>
      </w:r>
      <w:r w:rsidDel="00000000" w:rsidR="00000000" w:rsidRPr="00000000">
        <w:rPr>
          <w:rFonts w:ascii="Nunito" w:cs="Nunito" w:eastAsia="Nunito" w:hAnsi="Nunito"/>
          <w:b w:val="1"/>
          <w:sz w:val="144"/>
          <w:szCs w:val="144"/>
          <w:rtl w:val="0"/>
        </w:rPr>
        <w:t xml:space="preserve">400</w:t>
      </w:r>
      <w:r w:rsidDel="00000000" w:rsidR="00000000" w:rsidRPr="00000000">
        <w:rPr>
          <w:rFonts w:ascii="Nunito" w:cs="Nunito" w:eastAsia="Nunito" w:hAnsi="Nunito"/>
          <w:b w:val="1"/>
          <w:sz w:val="36"/>
          <w:szCs w:val="36"/>
          <w:rtl w:val="0"/>
        </w:rPr>
        <w:br w:type="textWrapping"/>
        <w:t xml:space="preserve">Veprimet për pranimin dhe dorëzimin e porosive</w:t>
        <w:br w:type="textWrapping"/>
        <w:br w:type="textWrapping"/>
      </w:r>
      <w:r w:rsidDel="00000000" w:rsidR="00000000" w:rsidRPr="00000000">
        <w:rPr>
          <w:rFonts w:ascii="Nunito" w:cs="Nunito" w:eastAsia="Nunito" w:hAnsi="Nunito"/>
          <w:b w:val="1"/>
          <w:sz w:val="32"/>
          <w:szCs w:val="32"/>
          <w:rtl w:val="0"/>
        </w:rPr>
        <w:t xml:space="preserve">Regullat bazë për mbledhje te porosive (Pick-Up)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ind w:left="36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Nunito" w:cs="Nunito" w:eastAsia="Nunito" w:hAnsi="Nunito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Asnje porosi nuk lejohet te sjellet ne baze pa pasur label apo numrat e porosise te shenuar manualisht</w:t>
      </w:r>
    </w:p>
    <w:p w:rsidR="00000000" w:rsidDel="00000000" w:rsidP="00000000" w:rsidRDefault="00000000" w:rsidRPr="00000000" w14:paraId="00000004">
      <w:pPr>
        <w:spacing w:after="240" w:before="240" w:lineRule="auto"/>
        <w:ind w:left="36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Nunito" w:cs="Nunito" w:eastAsia="Nunito" w:hAnsi="Nunito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Kur haset ne porosi me madhesi jashte standardit “oversize” nuk duhet te mirret pa nje konfirmim nga ana e Menaxherit dhe konfirmimi duhet te behet me shkrim (Viber)</w:t>
      </w:r>
    </w:p>
    <w:p w:rsidR="00000000" w:rsidDel="00000000" w:rsidP="00000000" w:rsidRDefault="00000000" w:rsidRPr="00000000" w14:paraId="00000005">
      <w:pPr>
        <w:spacing w:after="240" w:before="240" w:lineRule="auto"/>
        <w:ind w:left="36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Nunito" w:cs="Nunito" w:eastAsia="Nunito" w:hAnsi="Nunito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Kur haset ne porosi e cila nuk eshte ne paketimin adekuat dhe shihet qarte mundesia per damtim gjate procesit te transportit, ajo porosi nuk mirret pa u paketuar paraprakisht nga derguesi</w:t>
      </w:r>
    </w:p>
    <w:p w:rsidR="00000000" w:rsidDel="00000000" w:rsidP="00000000" w:rsidRDefault="00000000" w:rsidRPr="00000000" w14:paraId="00000006">
      <w:pPr>
        <w:spacing w:after="240" w:before="240" w:lineRule="auto"/>
        <w:ind w:left="36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Nunito" w:cs="Nunito" w:eastAsia="Nunito" w:hAnsi="Nunito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Te gjitha porosite qe mblidhen nga agjenti dhe sillen ne baze, duhet te alokohen ne vendet adekuate pas kompletimit te tyre me label. Secili agjent qe i sjell porosite e mbledhura ne orarin e percaktuar duhet qe te kompletoje ngjitja e labelave per ato porosi qe ju mungojne labelat si dhe shperendarja neper raftet perkatese, per te dale ne shprendarje diten e neserme. </w:t>
        <w:br w:type="textWrapping"/>
        <w:t xml:space="preserve">Statusi i tyre duhet te jete InProgress (dmth te sortuara per shperndarje)</w:t>
      </w:r>
    </w:p>
    <w:p w:rsidR="00000000" w:rsidDel="00000000" w:rsidP="00000000" w:rsidRDefault="00000000" w:rsidRPr="00000000" w14:paraId="00000007">
      <w:pPr>
        <w:spacing w:after="240" w:before="240" w:lineRule="auto"/>
        <w:ind w:left="36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Nunito" w:cs="Nunito" w:eastAsia="Nunito" w:hAnsi="Nunito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Respektimi i orarit dhe “itenerari”i terenit, do te parcaktohet ne behet na baza Javore dhe mund te ndryshoje varesisht prej urdherave te menaxherit.</w:t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</w:rPr>
        <w:drawing>
          <wp:inline distB="114300" distT="114300" distL="114300" distR="114300">
            <wp:extent cx="5943600" cy="726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</w:r>
    </w:p>
    <w:tbl>
      <w:tblPr>
        <w:tblStyle w:val="Table1"/>
        <w:tblW w:w="9000.0" w:type="dxa"/>
        <w:jc w:val="left"/>
        <w:tblInd w:w="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tblGridChange w:id="0">
          <w:tblGrid>
            <w:gridCol w:w="3000"/>
            <w:gridCol w:w="3000"/>
            <w:gridCol w:w="3000"/>
          </w:tblGrid>
        </w:tblGridChange>
      </w:tblGrid>
      <w:tr>
        <w:trPr>
          <w:cantSplit w:val="0"/>
          <w:trHeight w:val="54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ITENERARI I VOZITJES</w:t>
            </w:r>
          </w:p>
        </w:tc>
      </w:tr>
      <w:tr>
        <w:trPr>
          <w:cantSplit w:val="0"/>
          <w:trHeight w:val="540" w:hRule="atLeast"/>
          <w:tblHeader w:val="1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Emri Mbiemri:     </w:t>
            </w:r>
          </w:p>
        </w:tc>
      </w:tr>
      <w:tr>
        <w:trPr>
          <w:cantSplit w:val="0"/>
          <w:trHeight w:val="795" w:hRule="atLeast"/>
          <w:tblHeader w:val="1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6"/>
                <w:szCs w:val="26"/>
                <w:rtl w:val="0"/>
              </w:rPr>
              <w:t xml:space="preserve">Koha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6"/>
                <w:szCs w:val="26"/>
                <w:rtl w:val="0"/>
              </w:rPr>
              <w:t xml:space="preserve">Lokacioni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6"/>
                <w:szCs w:val="26"/>
                <w:rtl w:val="0"/>
              </w:rPr>
              <w:t xml:space="preserve">Klientat</w:t>
            </w:r>
          </w:p>
        </w:tc>
      </w:tr>
      <w:tr>
        <w:trPr>
          <w:cantSplit w:val="0"/>
          <w:trHeight w:val="669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1.3720930232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8"/>
                <w:szCs w:val="28"/>
              </w:rPr>
            </w:pPr>
            <w:r w:rsidDel="00000000" w:rsidR="00000000" w:rsidRPr="00000000">
              <w:rPr>
                <w:rFonts w:ascii="Nunito" w:cs="Nunito" w:eastAsia="Nunito" w:hAnsi="Nunito"/>
                <w:sz w:val="26"/>
                <w:szCs w:val="26"/>
                <w:rtl w:val="0"/>
              </w:rPr>
              <w:t xml:space="preserve">Barazimi dhe dorezimi i barazimeve, kthimeve te pa perfunduara. </w:t>
            </w:r>
            <w:r w:rsidDel="00000000" w:rsidR="00000000" w:rsidRPr="00000000">
              <w:rPr>
                <w:rFonts w:ascii="Nunito" w:cs="Nunito" w:eastAsia="Nunito" w:hAnsi="Nunito"/>
                <w:sz w:val="25"/>
                <w:szCs w:val="25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5.81395348837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6"/>
                <w:szCs w:val="26"/>
              </w:rPr>
            </w:pPr>
            <w:r w:rsidDel="00000000" w:rsidR="00000000" w:rsidRPr="00000000">
              <w:rPr>
                <w:rFonts w:ascii="Nunito" w:cs="Nunito" w:eastAsia="Nunito" w:hAnsi="Nunito"/>
                <w:sz w:val="26"/>
                <w:szCs w:val="26"/>
                <w:rtl w:val="0"/>
              </w:rPr>
              <w:t xml:space="preserve">Regullimi i porosive dhe vendosja ne raftet perkatese (Pickup Succesful, Hubscan)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ind w:left="36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400-1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Mbledhja e porosive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1. Obligohen postierat që POROSITË (taskat) e MBLEDHJES ti MBYLLIN në lokacionin e marrjës së tyre dhe jo në bazë të NPOST. </w:t>
              <w:br w:type="textWrapping"/>
              <w:br w:type="textWrapping"/>
              <w:t xml:space="preserve">2. Obligohen postierat që porositë të cilat nuk i kanë të shtypur labelat dhe të cilat nuk janë të mbyllura me sukses,  ti përfundojnë para ardhjës për shkarkim dhe në hapësirat jashtë zonës së shkarkimit.</w:t>
              <w:br w:type="textWrapping"/>
              <w:br w:type="textWrapping"/>
              <w:t xml:space="preserve">3. Obligohen që të marrin nënshkrimin digjital nga klienti gjatë mbledhjës së porosive.</w:t>
              <w:br w:type="textWrapping"/>
              <w:br w:type="textWrapping"/>
              <w:t xml:space="preserve">4. Ndalohet marrja e porosive të cilat nuk përputhen me listën e mbledhjës të definuar në Manifestin e mbledhjës. </w:t>
              <w:br w:type="textWrapping"/>
              <w:br w:type="textWrapping"/>
              <w:t xml:space="preserve">5. Nuk lejohen të bëhët anulimi apo dështimi i Taskut të mbledhjës nga Postieri. Tasku i mbledhjës mund të anulohet vetëm nga baza duke pastruar manifesti i mbledhjës (Info Received apo Canceled before Pickup)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Depoisti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ndonjë mos përputhje apo problemi brenda 1 orë duhet të lajmërohet Menaxheri . 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400-2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Dorezimi e kthimeve / anulimeve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1. Postieri duhet qe kthimet e pregaditura nga baze ti dorezoje me rastin e marrjen e mledhjes se porosive apo ndarazi ne raste specifike. Preferohet qe kjo te behet me rastin e mbledhjes se porosive apo dorezimit te likuidimeve.</w:t>
              <w:br w:type="textWrapping"/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Menaxheri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20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ndonjë mos përputhje apo problemi brenda 1 orë duhet të lajmërohet Menaxheri . 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9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400-3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Dorëzimi e likuidimeve COD dhe dorezimi i faturës per shërbimin postar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u w:val="single"/>
                <w:rtl w:val="0"/>
              </w:rPr>
              <w:t xml:space="preserve">DORËZIMI I LIKUIDIMIT të COD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  <w:br w:type="textWrapping"/>
              <w:t xml:space="preserve">Postieri duhet që të ndjekë procedurat si në vijim për dorëzim të barazimeve (likuidimeve)</w:t>
              <w:br w:type="textWrapping"/>
              <w:br w:type="textWrapping"/>
              <w:t xml:space="preserve">Të fillojë precedurën e dorëzimit në aplikacion. </w:t>
              <w:br w:type="textWrapping"/>
              <w:br w:type="textWrapping"/>
              <w:t xml:space="preserve">Ti dorëzoj pranuesit të barazimit zarfin në gjendje të mbyllur.</w:t>
              <w:br w:type="textWrapping"/>
              <w:br w:type="textWrapping"/>
              <w:t xml:space="preserve">Të lejojë ti numërojë mjetet e dorëzuar në prezencë të ti dhe me vëmendje të shtuar pranuesit e barazimit.</w:t>
              <w:br w:type="textWrapping"/>
              <w:br w:type="textWrapping"/>
              <w:t xml:space="preserve">Obligative duhet nënshkruar në mënyrë digjitale dhe fizike Dëshmine e likuidimit (Liquidation Receipt) e cila përmbanë listen e porosive të likuiduara.</w:t>
              <w:br w:type="textWrapping"/>
              <w:br w:type="textWrapping"/>
              <w:t xml:space="preserve">Një kopje të dëshmisë ta merr me vete për dorëzim në baze.</w:t>
              <w:br w:type="textWrapping"/>
              <w:br w:type="textWrapping"/>
              <w:t xml:space="preserve">Te fotografojë kopjën e dëshmisë dhe ta ngarkojë në aplikacion secilën faqe dhe faqën ku pranuesi i barazimit nënshkruan pranimin e barazimit.</w:t>
              <w:br w:type="textWrapping"/>
              <w:br w:type="textWrapping"/>
              <w:t xml:space="preserve">Të skenojë barkodin e likuidimit.</w:t>
              <w:br w:type="textWrapping"/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u w:val="single"/>
                <w:rtl w:val="0"/>
              </w:rPr>
              <w:t xml:space="preserve">DORËZIMI I FATURËS PËR SHËRBIMIN POSTAR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  <w:br w:type="textWrapping"/>
              <w:t xml:space="preserve">Posteri do te dorezoje faturen per sherbim postare se bashku me likuidimin. Likudimi duhet te permbaje edhe kuponin fiskal ne qoftese pagesa i eshte zbritur nga shuma e likuidimit te parave te mbledhura per llogari te Derguesit. </w:t>
              <w:br w:type="textWrapping"/>
              <w:br w:type="textWrapping"/>
              <w:t xml:space="preserve">Ne rast se Derguesit i dorezohet COD-i dhe pagesa per sherbimin postare behet me banke atehere derguesit duhet qe te dorezohet fatura dhe e njejta te nenshkruhet nga klienti.</w:t>
              <w:br w:type="textWrapping"/>
              <w:br w:type="textWrapping"/>
              <w:t xml:space="preserve">Fatura duhet të nënshkruhet nga pranuesi i faturës.</w:t>
              <w:br w:type="textWrapping"/>
              <w:br w:type="textWrapping"/>
              <w:t xml:space="preserve">Deshmine e nenshkruar nga derguesit duhet ta dorezoje ne baze.</w:t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Menaxheri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20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ndonjë mos përputhje apo problemi brenda 1 orë duhet të lajmërohet Menaxheri. 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Veprimi 400-4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Mbyllja Ditore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u w:val="single"/>
                <w:rtl w:val="0"/>
              </w:rPr>
              <w:t xml:space="preserve">MBYLLJA DITORE E AGJENTIT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br w:type="textWrapping"/>
              <w:t xml:space="preserve">Postieri Mbledhes duhet qe gjate cdo dite pune te barazohet ne arke:</w:t>
              <w:br w:type="textWrapping"/>
              <w:br w:type="textWrapping"/>
              <w:t xml:space="preserve">TI DOREZOJE LIKUDIMET E PAPERFUNDUARA</w:t>
              <w:br w:type="textWrapping"/>
              <w:br w:type="textWrapping"/>
              <w:t xml:space="preserve">TI DOREZOJE POROSITE E KTHYERA/ANULIMET E PAPERFUNDUARA</w:t>
              <w:br w:type="textWrapping"/>
              <w:br w:type="textWrapping"/>
              <w:t xml:space="preserve">TI MBYLL TE GJITHA DETYRAT e PAPERFUNDUARA me arsyet e sakta.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18"/>
                <w:szCs w:val="18"/>
                <w:rtl w:val="0"/>
              </w:rPr>
              <w:t xml:space="preserve"> </w:t>
              <w:br w:type="textWrapping"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Postieri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10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gabimit nga Menaxheri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20 EUR masë ndëshkuese + vlera e dëmit në rast se dëmi është efektiv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Raportimi në rast të problemeve, ndodhive të jashtëzakonshme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Në rast të ndonjë mos përputhje apo problemi brenda 1 orë duhet të lajmërohet Menaxheri te Financave. 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Nunito" w:cs="Nunito" w:eastAsia="Nunito" w:hAnsi="Nunito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sz w:val="18"/>
          <w:szCs w:val="18"/>
          <w:rtl w:val="0"/>
        </w:rPr>
        <w:br w:type="textWrapping"/>
        <w:br w:type="textWrapping"/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E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F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C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color w:val="6aa84f"/>
        <w:sz w:val="28"/>
        <w:szCs w:val="28"/>
        <w:rtl w:val="0"/>
      </w:rPr>
      <w:t xml:space="preserve">E N LLC</w:t>
    </w:r>
    <w:r w:rsidDel="00000000" w:rsidR="00000000" w:rsidRPr="00000000">
      <w:rPr>
        <w:b w:val="1"/>
        <w:color w:val="6aa84f"/>
        <w:sz w:val="28"/>
        <w:szCs w:val="28"/>
        <w:rtl w:val="0"/>
      </w:rPr>
      <w:t xml:space="preserve"> </w:t>
    </w:r>
    <w:r w:rsidDel="00000000" w:rsidR="00000000" w:rsidRPr="00000000">
      <w:rPr>
        <w:b w:val="1"/>
        <w:rtl w:val="0"/>
      </w:rPr>
      <w:br w:type="textWrapping"/>
    </w:r>
    <w:r w:rsidDel="00000000" w:rsidR="00000000" w:rsidRPr="00000000">
      <w:rPr>
        <w:rFonts w:ascii="Nunito" w:cs="Nunito" w:eastAsia="Nunito" w:hAnsi="Nunito"/>
        <w:b w:val="1"/>
        <w:rtl w:val="0"/>
      </w:rPr>
      <w:t xml:space="preserve">Udhëzues i veprimeve dhe çmimore referuese mbi masat ndëshkuese në rast të gabimeve</w:t>
      <w:br w:type="textWrapping"/>
      <w:br w:type="textWrapping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0">
    <w:pPr>
      <w:pageBreakBefore w:val="0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color w:val="6aa84f"/>
        <w:sz w:val="28"/>
        <w:szCs w:val="28"/>
        <w:rtl w:val="0"/>
      </w:rPr>
      <w:t xml:space="preserve">E N LLC</w:t>
    </w:r>
    <w:r w:rsidDel="00000000" w:rsidR="00000000" w:rsidRPr="00000000">
      <w:rPr>
        <w:b w:val="1"/>
        <w:color w:val="6aa84f"/>
        <w:sz w:val="28"/>
        <w:szCs w:val="28"/>
        <w:rtl w:val="0"/>
      </w:rPr>
      <w:t xml:space="preserve"> </w:t>
    </w:r>
    <w:r w:rsidDel="00000000" w:rsidR="00000000" w:rsidRPr="00000000">
      <w:rPr>
        <w:b w:val="1"/>
        <w:rtl w:val="0"/>
      </w:rPr>
      <w:br w:type="textWrapping"/>
    </w:r>
    <w:r w:rsidDel="00000000" w:rsidR="00000000" w:rsidRPr="00000000">
      <w:rPr>
        <w:rFonts w:ascii="Nunito" w:cs="Nunito" w:eastAsia="Nunito" w:hAnsi="Nunito"/>
        <w:b w:val="1"/>
        <w:rtl w:val="0"/>
      </w:rPr>
      <w:t xml:space="preserve">Udhëzues i veprimeve dhe çmimore referuese mbi masat ndëshkuese në rast të gabimeve</w:t>
      <w:br w:type="textWrapping"/>
      <w:br w:type="textWrapping"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