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Kategorizimi numerik: </w:t>
        <w:br w:type="textWrapping"/>
      </w:r>
      <w:r w:rsidDel="00000000" w:rsidR="00000000" w:rsidRPr="00000000">
        <w:rPr>
          <w:rFonts w:ascii="Nunito" w:cs="Nunito" w:eastAsia="Nunito" w:hAnsi="Nunito"/>
          <w:b w:val="1"/>
          <w:sz w:val="144"/>
          <w:szCs w:val="144"/>
          <w:rtl w:val="0"/>
        </w:rPr>
        <w:t xml:space="preserve">300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br w:type="textWrapping"/>
        <w:t xml:space="preserve">Veprimet e manipulimit të dërgesave në DEPO</w:t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300-1a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Mbledhja e porosive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1. Obligohen postierat që POROSITë (taskat) e MBLEDHJES ti MBYLLIN në lokacionin e marrjës së tyre dhe jo në bazë të NPOST. </w:t>
              <w:br w:type="textWrapping"/>
              <w:br w:type="textWrapping"/>
              <w:t xml:space="preserve">2. Obligohen postierat që porositë të cilat nuk i kanë të shtypur labelat dhe të cilat nuk janë të mbyllura me sukses,  ti përfundojnë para ardhjës për shkarkim dhe në hapësirat jashtë zonës së shkarkimit.</w:t>
              <w:br w:type="textWrapping"/>
              <w:br w:type="textWrapping"/>
              <w:t xml:space="preserve">3. Obligohen që të marrin nënshkrimin digjital nga klienti gjatë mbledhjës së porosive.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Depoisti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 i flotës. menaxheri i depos.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300-1b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Vlerësimi i madhësive të pakove sipas deklaratës në sistem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1. Agjentwt duhet tw mbledhin porositw e pwrcaktuara sipas detyrws</w:t>
              <w:br w:type="textWrapping"/>
              <w:br w:type="textWrapping"/>
              <w:t xml:space="preserve">2. Ndalohet ngarkesa dhe marrja e dwrgesave tw pa paketuara ose tw pa pwrshtatshme pwr transport tw mwtutjeshwm tw cilat gjatw transportit mund tw dwmtohen</w:t>
              <w:br w:type="textWrapping"/>
              <w:br w:type="textWrapping"/>
              <w:t xml:space="preserve">3. Pakot apo dwrgesat tw cilat nuk janw tw deklaruara nw mwnyrw korrekte nw sistwmin e regjistrimit tw dwrgesave nuk duhet tw mirrwn nga agjenti pa konfirmim tw BAZWS me shkrim. </w:t>
              <w:br w:type="textWrapping"/>
              <w:br w:type="textWrapping"/>
              <w:t xml:space="preserve">4. Konfirmimi nga baza bwhet para ngarkesws pwr tw gjitha porositw tw cilat nuk janw tw paketuara apo pa paketim adekuat nuk duhen te mirren nga agjenti pa konfirmim te BAZWES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Depoisti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 i flotës. menaxheri i depos.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300-2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Pranimi i porosive në DEPO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1. Pranimi i porosive duhet të behet nga stafi i autorizuar i Depos.</w:t>
              <w:br w:type="textWrapping"/>
              <w:br w:type="textWrapping"/>
              <w:t xml:space="preserve">2. Pranimi i porosive dhe shkarkimi bëhet vetëm për porositë që kanë statusin PickUp.</w:t>
              <w:br w:type="textWrapping"/>
              <w:br w:type="textWrapping"/>
              <w:t xml:space="preserve">3. Një veturë mund të vij për shkarkim vetëm me mallrat e kompletuara dhe shkarkimi bëhet në zonën e shkarimit sipas radhës së caktuar nga zyrtarët e depos.</w:t>
              <w:br w:type="textWrapping"/>
              <w:br w:type="textWrapping"/>
              <w:t xml:space="preserve">4. Postierat nuk mund te fillojnë procedurën e shkarkimit pa prezencën e stafit të DEPOs.</w:t>
              <w:br w:type="textWrapping"/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Depoisti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 i flotës. menaxheri i depos.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300-3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Skenimi dhe sortimi i porosive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1. Obligohen punëtorët e depos që të skenojnë në zonën e shkarkimit të gjitha porositë e arritura dhe të cilat kanë statusin Pickup.</w:t>
              <w:br w:type="textWrapping"/>
              <w:br w:type="textWrapping"/>
              <w:t xml:space="preserve">2. Pas skenimit të gjitha porositë duhet të kalojnë në statusin Hub Scan dhe nuk mund të levizin nga zona e shkarkimit ne rast se kanë status tjetër. </w:t>
              <w:br w:type="textWrapping"/>
              <w:t xml:space="preserve">Statusi Info Received apo Ready for Pickup, duhet që të kthehet mrapa tek postierët për kompletim paraprak.</w:t>
              <w:br w:type="textWrapping"/>
              <w:br w:type="textWrapping"/>
              <w:t xml:space="preserve">3. Depoisti duhet që të verifikojë listën e porosive të mbetura në Pickup për secilin manifest te mbledhjës (secilin klient) dhe të verfikojë atë në HUB.NPOST.APP se a kanë kaluar nga statusi Pickup ne Hubscan. Pra duhet që të verifikohet skenimi i saktë i porosive.</w:t>
              <w:br w:type="textWrapping"/>
              <w:br w:type="textWrapping"/>
              <w:t xml:space="preserve">SORTIMI (NDARJA)</w:t>
              <w:br w:type="textWrapping"/>
              <w:t xml:space="preserve">4. Të gjitha porositë e skenuara duhet të vendosen në raftet apo zonën e caktuar që përcakton regjionin e shpërndarjës. </w:t>
              <w:br w:type="textWrapping"/>
              <w:br w:type="textWrapping"/>
              <w:t xml:space="preserve">5. Sortimi bëhet nga punëtorët e depos</w:t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Depoisti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 i flotës. menaxheri i depos.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highlight w:val="red"/>
                <w:rtl w:val="0"/>
              </w:rPr>
              <w:t xml:space="preserve">Veprimi 300-4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highlight w:val="red"/>
                <w:rtl w:val="0"/>
              </w:rPr>
              <w:t xml:space="preserve">Ngarkimi i porosive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highlight w:val="red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highlight w:val="red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highlight w:val="red"/>
                <w:rtl w:val="0"/>
              </w:rPr>
              <w:t xml:space="preserve">1. Punëtorët e depos obligohen që ti ngarkojnë përmes aplikacionit mobil në Daljet e përcaktuara porositë për regjionet specifike</w:t>
              <w:br w:type="textWrapping"/>
              <w:br w:type="textWrapping"/>
              <w:t xml:space="preserve">2. Asnjë porosi nuk mund të ngarkohet në qoftëse nuk e ka statusin Hub scan apo In Progress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highlight w:val="red"/>
                <w:rtl w:val="0"/>
              </w:rPr>
              <w:br w:type="textWrapping"/>
              <w:t xml:space="preserve">3. Depoisti duhet që të verifikojë listën e porosive të mbetura në Pickup për secilin manifest te mbledhjës (secilin klient) dhe të verfikojë atë në HUB.NPOST.APP se a kanë kaluar nga statusi Pickup ne Hubscan. Pra duhet që të verifikohet skenimi i saktë i porosive.</w:t>
              <w:br w:type="textWrapping"/>
              <w:br w:type="textWrapping"/>
              <w:t xml:space="preserve">SORTIMI (NDARJA)</w:t>
              <w:br w:type="textWrapping"/>
              <w:t xml:space="preserve">4. Të gjitha porositë e skenuara duhet të vendosen në raftet apo zonën e caktuar që përcakton regjionin e shpërndarjës. </w:t>
              <w:br w:type="textWrapping"/>
              <w:br w:type="textWrapping"/>
              <w:t xml:space="preserve">5. Sortimi bëhet nga punëtorët e depos</w:t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highlight w:val="red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highlight w:val="red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highlight w:val="red"/>
                <w:rtl w:val="0"/>
              </w:rPr>
              <w:t xml:space="preserve">Në rast të gabimit nga Depoisti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highlight w:val="red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highlight w:val="red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highlight w:val="red"/>
                <w:rtl w:val="0"/>
              </w:rPr>
              <w:t xml:space="preserve">Në rast të ndonjë mos përputhje apo problemi brenda 1 orë duhet të lajmërohet Menaxheri i flotës. menaxheri i depos.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rPr>
          <w:rFonts w:ascii="Nunito" w:cs="Nunito" w:eastAsia="Nunito" w:hAnsi="Nunito"/>
          <w:sz w:val="18"/>
          <w:szCs w:val="18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7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Udhëzues i veprimeve dhe çmimore referuese mbi masat ndëshkuese në rast të gabimeve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8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Udhëzues i veprimeve dhe çmimore referuese mbi masat ndëshkuese në rast të gabimeve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