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9A0DE6" w14:textId="388AD1D5" w:rsidR="00CB36B8" w:rsidRPr="0099336D" w:rsidRDefault="007A7121">
      <w:pPr>
        <w:rPr>
          <w:rFonts w:ascii="Nunito" w:eastAsia="Calibri" w:hAnsi="Nunito" w:cs="Calibri"/>
          <w:b/>
        </w:rPr>
      </w:pPr>
      <w:r w:rsidRPr="0099336D">
        <w:rPr>
          <w:rFonts w:ascii="Nunito" w:hAnsi="Nunito"/>
          <w:noProof/>
        </w:rPr>
        <w:drawing>
          <wp:anchor distT="0" distB="0" distL="114300" distR="114300" simplePos="0" relativeHeight="251659264" behindDoc="0" locked="0" layoutInCell="1" allowOverlap="0" wp14:anchorId="7D11A023" wp14:editId="4C9E6A61">
            <wp:simplePos x="0" y="0"/>
            <wp:positionH relativeFrom="margin">
              <wp:align>left</wp:align>
            </wp:positionH>
            <wp:positionV relativeFrom="page">
              <wp:posOffset>1104900</wp:posOffset>
            </wp:positionV>
            <wp:extent cx="1114425" cy="600075"/>
            <wp:effectExtent l="0" t="0" r="9525" b="9525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3FFAE" w14:textId="3231B8C9" w:rsidR="00CB36B8" w:rsidRPr="0099336D" w:rsidRDefault="00A033BA">
      <w:pPr>
        <w:rPr>
          <w:rFonts w:ascii="Nunito" w:eastAsia="Calibri" w:hAnsi="Nunito" w:cs="Calibri"/>
          <w:b/>
        </w:rPr>
        <w:sectPr w:rsidR="00CB36B8" w:rsidRPr="0099336D">
          <w:footerReference w:type="default" r:id="rId8"/>
          <w:pgSz w:w="12240" w:h="15840"/>
          <w:pgMar w:top="1440" w:right="1800" w:bottom="1440" w:left="1800" w:header="144" w:footer="144" w:gutter="0"/>
          <w:pgNumType w:start="1"/>
          <w:cols w:num="2" w:space="720" w:equalWidth="0">
            <w:col w:w="3960" w:space="720"/>
            <w:col w:w="3960" w:space="0"/>
          </w:cols>
        </w:sectPr>
      </w:pPr>
      <w:r w:rsidRPr="0099336D">
        <w:rPr>
          <w:rFonts w:ascii="Nunito" w:eastAsia="Calibri" w:hAnsi="Nunito" w:cs="Calibri"/>
          <w:b/>
        </w:rPr>
        <w:t>EN LLC</w:t>
      </w:r>
      <w:r w:rsidRPr="0099336D">
        <w:rPr>
          <w:rFonts w:ascii="Nunito" w:eastAsia="Calibri" w:hAnsi="Nunito" w:cs="Calibri"/>
          <w:b/>
        </w:rPr>
        <w:br/>
        <w:t>Veternik Isak Lutolli pn, Prishtinë</w:t>
      </w:r>
      <w:r w:rsidRPr="0099336D">
        <w:rPr>
          <w:rFonts w:ascii="Nunito" w:eastAsia="Calibri" w:hAnsi="Nunito" w:cs="Calibri"/>
          <w:b/>
        </w:rPr>
        <w:br/>
        <w:t>NRB: 811397703</w:t>
      </w:r>
      <w:r w:rsidRPr="0099336D">
        <w:rPr>
          <w:rFonts w:ascii="Nunito" w:eastAsia="Calibri" w:hAnsi="Nunito" w:cs="Calibri"/>
          <w:b/>
        </w:rPr>
        <w:br/>
      </w:r>
    </w:p>
    <w:p w14:paraId="4F4488DB" w14:textId="7463EA2B" w:rsidR="00CB36B8" w:rsidRPr="0099336D" w:rsidRDefault="00000000">
      <w:pPr>
        <w:rPr>
          <w:rFonts w:ascii="Nunito" w:eastAsia="Calibri" w:hAnsi="Nunito" w:cs="Calibri"/>
          <w:b/>
          <w:sz w:val="20"/>
          <w:szCs w:val="20"/>
        </w:rPr>
      </w:pPr>
      <w:r>
        <w:rPr>
          <w:rFonts w:ascii="Nunito" w:hAnsi="Nunito"/>
        </w:rPr>
        <w:pict w14:anchorId="52D6FA6D">
          <v:rect id="_x0000_i1025" style="width:0;height:1.5pt" o:hralign="center" o:hrstd="t" o:hr="t" fillcolor="#a0a0a0" stroked="f"/>
        </w:pict>
      </w:r>
    </w:p>
    <w:p w14:paraId="134320D0" w14:textId="77777777" w:rsidR="00CB36B8" w:rsidRPr="0099336D" w:rsidRDefault="00CB36B8">
      <w:pPr>
        <w:rPr>
          <w:rFonts w:ascii="Nunito" w:eastAsia="Calibri" w:hAnsi="Nunito" w:cs="Calibri"/>
          <w:b/>
          <w:sz w:val="20"/>
          <w:szCs w:val="20"/>
        </w:rPr>
      </w:pPr>
    </w:p>
    <w:p w14:paraId="1A01E4B4" w14:textId="1F266157" w:rsidR="00AE66D5" w:rsidRPr="00AE66D5" w:rsidRDefault="00AE66D5" w:rsidP="00AE66D5">
      <w:pPr>
        <w:rPr>
          <w:rFonts w:ascii="Nunito" w:eastAsia="Calibri" w:hAnsi="Nunito" w:cs="Calibri"/>
          <w:sz w:val="36"/>
          <w:szCs w:val="36"/>
        </w:rPr>
      </w:pPr>
      <w:r w:rsidRPr="00AE66D5">
        <w:rPr>
          <w:rFonts w:ascii="Nunito" w:eastAsia="Calibri" w:hAnsi="Nunito" w:cs="Calibri"/>
          <w:sz w:val="36"/>
          <w:szCs w:val="36"/>
        </w:rPr>
        <w:t>Regullore Disiplinore e Kompanisë</w:t>
      </w:r>
    </w:p>
    <w:p w14:paraId="55AF9CAA" w14:textId="2345632E" w:rsidR="00AE66D5" w:rsidRPr="00AE66D5" w:rsidRDefault="00AE66D5" w:rsidP="00AE66D5">
      <w:pPr>
        <w:pStyle w:val="Heading2"/>
      </w:pPr>
      <w:r w:rsidRPr="00AE66D5">
        <w:t>Kreu I: Dispozita të Përgjithshme</w:t>
      </w:r>
      <w:r>
        <w:br/>
      </w:r>
    </w:p>
    <w:p w14:paraId="4D1A0657" w14:textId="77777777" w:rsidR="00AE66D5" w:rsidRPr="00AE66D5" w:rsidRDefault="00AE66D5" w:rsidP="00AE66D5">
      <w:pPr>
        <w:rPr>
          <w:rFonts w:ascii="Nunito" w:eastAsia="Calibri" w:hAnsi="Nunito" w:cs="Calibri"/>
          <w:b/>
          <w:bCs/>
        </w:rPr>
      </w:pPr>
      <w:r w:rsidRPr="00AE66D5">
        <w:rPr>
          <w:rFonts w:ascii="Nunito" w:eastAsia="Calibri" w:hAnsi="Nunito" w:cs="Calibri"/>
          <w:b/>
          <w:bCs/>
        </w:rPr>
        <w:t>Neni 1: Qëllimi</w:t>
      </w:r>
    </w:p>
    <w:p w14:paraId="7A72169C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1.1. Kjo regullore ka për qëllim të rregullojë procedurat disiplinore dhe sanksionet për shkeljet e rregullave të punës në përputhje me Ligjin e Punës në Kosovë.</w:t>
      </w:r>
    </w:p>
    <w:p w14:paraId="05DA6B2B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274DF3EA" w14:textId="77777777" w:rsidR="00AE66D5" w:rsidRPr="00AE66D5" w:rsidRDefault="00AE66D5" w:rsidP="00AE66D5">
      <w:pPr>
        <w:rPr>
          <w:rFonts w:ascii="Nunito" w:eastAsia="Calibri" w:hAnsi="Nunito" w:cs="Calibri"/>
          <w:b/>
          <w:bCs/>
        </w:rPr>
      </w:pPr>
      <w:r w:rsidRPr="00AE66D5">
        <w:rPr>
          <w:rFonts w:ascii="Nunito" w:eastAsia="Calibri" w:hAnsi="Nunito" w:cs="Calibri"/>
          <w:b/>
          <w:bCs/>
        </w:rPr>
        <w:t>Neni 2: Përkufizime</w:t>
      </w:r>
    </w:p>
    <w:p w14:paraId="749320AF" w14:textId="2729D6D2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2.1. Shkelje Disiplinore: Çdo veprim ose mosveprim nga ana e punonjësit që shkel rregullat e punës, kodin e etikës, kontratën e punës ose rregulloret e brendshme të kompanisë</w:t>
      </w:r>
      <w:r w:rsidR="007A7121">
        <w:rPr>
          <w:rFonts w:ascii="Nunito" w:eastAsia="Calibri" w:hAnsi="Nunito" w:cs="Calibri"/>
          <w:sz w:val="20"/>
          <w:szCs w:val="20"/>
        </w:rPr>
        <w:t>, manualet e veprimeve tw cilat mund tw lexohen regullisht nw portalin e brendshwm tw kompanisw INTRANET nw adreswn http://intranet.nposta.com</w:t>
      </w:r>
      <w:r w:rsidRPr="00AE66D5">
        <w:rPr>
          <w:rFonts w:ascii="Nunito" w:eastAsia="Calibri" w:hAnsi="Nunito" w:cs="Calibri"/>
          <w:sz w:val="20"/>
          <w:szCs w:val="20"/>
        </w:rPr>
        <w:t>.</w:t>
      </w:r>
    </w:p>
    <w:p w14:paraId="4B59E11E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2.2. Sanksione Disiplinore: Masat e marra nga kompania ndaj punonjësve për të ndëshkuar shkeljet disiplinore.</w:t>
      </w:r>
    </w:p>
    <w:p w14:paraId="521E2C5D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6A98DE46" w14:textId="37FA8EF6" w:rsidR="00AE66D5" w:rsidRPr="00AE66D5" w:rsidRDefault="00AE66D5" w:rsidP="00AE66D5">
      <w:pPr>
        <w:pStyle w:val="Heading2"/>
      </w:pPr>
      <w:r w:rsidRPr="00AE66D5">
        <w:t>Kreu II: Klasifikimi i Shkeljeve Disiplinore</w:t>
      </w:r>
      <w:r>
        <w:br/>
      </w:r>
    </w:p>
    <w:p w14:paraId="05941241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3: Shkeljet e Lehta</w:t>
      </w:r>
    </w:p>
    <w:p w14:paraId="1C8CED88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3.1. Përfshijnë vonesat e vogla në punë, mosrespektimin e rregullave të thjeshta të punës, dhe shkelje të tjera që nuk ndikojnë rëndë në operacionet e kompanisë.</w:t>
      </w:r>
    </w:p>
    <w:p w14:paraId="65812A6F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3.2. Sanksionet për shkeljet e lehta përfshijnë paralajmërimet me shkrim ose verbale.</w:t>
      </w:r>
    </w:p>
    <w:p w14:paraId="2745CEB9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3C186659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4: Shkeljet e Mesme</w:t>
      </w:r>
    </w:p>
    <w:p w14:paraId="0F1B47B1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4.1. Përfshijnë mosrespektimin e udhëzimeve të drejtorëve, mungesat e paarsyeshme në punë, dhe sjellje të papërshtatshme me kolegët.</w:t>
      </w:r>
    </w:p>
    <w:p w14:paraId="2499FF3C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4.2. Sanksionet për shkeljet e mesme përfshijnë paralajmërimet me shkrim dhe uljen e përkohshme nga pozita.</w:t>
      </w:r>
    </w:p>
    <w:p w14:paraId="42E16189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5B679C36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5: Shkeljet e Rënda</w:t>
      </w:r>
    </w:p>
    <w:p w14:paraId="30E09C7C" w14:textId="19025040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5.1. Përfshijnë vjedhjen, keqpërdorimin e pronës së kompanisë</w:t>
      </w:r>
      <w:r w:rsidR="007A7121">
        <w:rPr>
          <w:rFonts w:ascii="Nunito" w:eastAsia="Calibri" w:hAnsi="Nunito" w:cs="Calibri"/>
          <w:sz w:val="20"/>
          <w:szCs w:val="20"/>
        </w:rPr>
        <w:t xml:space="preserve">, </w:t>
      </w:r>
      <w:r w:rsidRPr="00AE66D5">
        <w:rPr>
          <w:rFonts w:ascii="Nunito" w:eastAsia="Calibri" w:hAnsi="Nunito" w:cs="Calibri"/>
          <w:sz w:val="20"/>
          <w:szCs w:val="20"/>
        </w:rPr>
        <w:t>përdorimin e substancave të ndaluara në vendin e punës, dhe veprime të tjera që dëmtojnë rëndë interesat e kompanisë.</w:t>
      </w:r>
    </w:p>
    <w:p w14:paraId="33E004DC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5.2. Sanksionet për shkeljet e rënda përfshijnë shkarkimin nga puna pa paralajmërim dhe ndjekjen ligjore.</w:t>
      </w:r>
    </w:p>
    <w:p w14:paraId="34272E29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5E22A43F" w14:textId="224B5680" w:rsidR="00AE66D5" w:rsidRPr="00AE66D5" w:rsidRDefault="00AE66D5" w:rsidP="00AE66D5">
      <w:pPr>
        <w:pStyle w:val="Heading2"/>
      </w:pPr>
      <w:r w:rsidRPr="00AE66D5">
        <w:lastRenderedPageBreak/>
        <w:t>Kreu III: Procedurat Disiplinore</w:t>
      </w:r>
      <w:r>
        <w:br/>
      </w:r>
    </w:p>
    <w:p w14:paraId="7203FE6B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6: Procedura Fillestare</w:t>
      </w:r>
    </w:p>
    <w:p w14:paraId="1E44408A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6.1. Çdo shkelje disiplinore do të raportohen tek menaxhmenti brenda një periudhe të arsyeshme kohe.</w:t>
      </w:r>
    </w:p>
    <w:p w14:paraId="3B6CB6BD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6.2. Menaxhmenti do të hetojë incidentin dhe do të mbledhë të gjitha dëshmitë dhe informacionet relevante.</w:t>
      </w:r>
    </w:p>
    <w:p w14:paraId="54AB4ADF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4A644186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7: Dëgjimi Disiplinor</w:t>
      </w:r>
    </w:p>
    <w:p w14:paraId="03329CD5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7.1. Punonjësi që akuzohet për shkelje disiplinore do të thirret në një dëgjim disiplinor ku do të ketë mundësinë të paraqesë mbrojtjen e tij.</w:t>
      </w:r>
    </w:p>
    <w:p w14:paraId="47B7411D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7.2. Dëgjimi do të mbahet nga një komision disiplinor i përbërë nga përfaqësues të menaxhmentit dhe departamentit të burimeve njerëzore.</w:t>
      </w:r>
    </w:p>
    <w:p w14:paraId="5C49D60B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17A5530B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8: Vendimi Disiplinor</w:t>
      </w:r>
    </w:p>
    <w:p w14:paraId="3C6F87D1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8.1. Pas dëgjimit disiplinor, komisioni do të marrë një vendim bazuar në provat e paraqitura dhe dëshmitë.</w:t>
      </w:r>
    </w:p>
    <w:p w14:paraId="1DBA26F5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8.2. Vendimi do të komunikohet me shkrim punonjësit brenda një periudhe të arsyeshme kohe.</w:t>
      </w:r>
    </w:p>
    <w:p w14:paraId="09754A2B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73AAF9D5" w14:textId="3F422BE4" w:rsidR="00AE66D5" w:rsidRPr="00AE66D5" w:rsidRDefault="00AE66D5" w:rsidP="00AE66D5">
      <w:pPr>
        <w:pStyle w:val="Heading2"/>
      </w:pPr>
      <w:r w:rsidRPr="00AE66D5">
        <w:t>Kreu IV: Ankesa dhe Apelimi</w:t>
      </w:r>
      <w:r>
        <w:br/>
      </w:r>
    </w:p>
    <w:p w14:paraId="013F52A6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9: Ankesa</w:t>
      </w:r>
    </w:p>
    <w:p w14:paraId="75525DED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9.1. Punonjësi ka të drejtë të bëjë ankesë ndaj vendimit disiplinor brenda pesë (5) ditëve pune nga marrja e vendimit.</w:t>
      </w:r>
    </w:p>
    <w:p w14:paraId="73EA5311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9.2. Ankesa duhet të dorëzohet me shkrim dhe të paraqesë arsyet dhe provat për të cilat punonjësi konsideron se vendimi ishte i padrejtë.</w:t>
      </w:r>
    </w:p>
    <w:p w14:paraId="7F81B639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2E389D12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10: Procedura e Apelimit</w:t>
      </w:r>
    </w:p>
    <w:p w14:paraId="4CEE98D3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10.1. Ankesa do të shqyrtohet nga një komision apelues i përbërë nga përfaqësues të tjerë të menaxhmentit dhe departamentit të burimeve njerëzore që nuk kanë qenë pjesë e dëgjimit fillestar.</w:t>
      </w:r>
    </w:p>
    <w:p w14:paraId="7869B5F5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10.2. Komisioni apelues do të marrë një vendim përfundimtar brenda dhjetë (10) ditëve pune nga marrja e ankesës dhe do ta komunikojë atë me shkrim punonjësit.</w:t>
      </w:r>
    </w:p>
    <w:p w14:paraId="0A767A02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7E3357E5" w14:textId="689A96ED" w:rsidR="00AE66D5" w:rsidRPr="00AE66D5" w:rsidRDefault="00AE66D5" w:rsidP="00AE66D5">
      <w:pPr>
        <w:pStyle w:val="Heading2"/>
      </w:pPr>
      <w:r w:rsidRPr="00AE66D5">
        <w:t>Kreu V: Dispozita Përfundimtare</w:t>
      </w:r>
      <w:r>
        <w:br/>
      </w:r>
    </w:p>
    <w:p w14:paraId="12BFDCBD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t>Neni 11: Vlefshmëria dhe Ndryshimet</w:t>
      </w:r>
    </w:p>
    <w:p w14:paraId="6583EB8A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11.1. Kjo regullore hyn në fuqi në datën e miratimit dhe do të jetë e vlefshme derisa të zëvendësohet apo ndryshohet nga një regullore tjetër.</w:t>
      </w:r>
    </w:p>
    <w:p w14:paraId="10F005C5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11.2. Çdo ndryshim në këtë regullore duhet të aprovohet nga menaxhmenti i lartë i kompanisë dhe të komunikohet me të gjithë punonjësit.</w:t>
      </w:r>
    </w:p>
    <w:p w14:paraId="631A1AF9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</w:p>
    <w:p w14:paraId="7B89BC70" w14:textId="77777777" w:rsidR="00AE66D5" w:rsidRPr="00AE66D5" w:rsidRDefault="00AE66D5" w:rsidP="00AE66D5">
      <w:pPr>
        <w:rPr>
          <w:rFonts w:ascii="Nunito" w:eastAsia="Calibri" w:hAnsi="Nunito" w:cs="Calibri"/>
          <w:b/>
        </w:rPr>
      </w:pPr>
      <w:r w:rsidRPr="00AE66D5">
        <w:rPr>
          <w:rFonts w:ascii="Nunito" w:eastAsia="Calibri" w:hAnsi="Nunito" w:cs="Calibri"/>
          <w:b/>
        </w:rPr>
        <w:lastRenderedPageBreak/>
        <w:t>Neni 12: Interpretimi dhe Zbatimi</w:t>
      </w:r>
    </w:p>
    <w:p w14:paraId="6E0F09CC" w14:textId="77777777" w:rsidR="00AE66D5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12.1. Interpretimi i kësaj regulloreje është në kompetencë të menaxhmentit të lartë të kompanisë.</w:t>
      </w:r>
    </w:p>
    <w:p w14:paraId="11808C3C" w14:textId="51F7D3B7" w:rsidR="00FF3A33" w:rsidRPr="00AE66D5" w:rsidRDefault="00AE66D5" w:rsidP="00AE66D5">
      <w:pPr>
        <w:rPr>
          <w:rFonts w:ascii="Nunito" w:eastAsia="Calibri" w:hAnsi="Nunito" w:cs="Calibri"/>
          <w:sz w:val="20"/>
          <w:szCs w:val="20"/>
        </w:rPr>
      </w:pPr>
      <w:r w:rsidRPr="00AE66D5">
        <w:rPr>
          <w:rFonts w:ascii="Nunito" w:eastAsia="Calibri" w:hAnsi="Nunito" w:cs="Calibri"/>
          <w:sz w:val="20"/>
          <w:szCs w:val="20"/>
        </w:rPr>
        <w:t>12.2. Çdo çështje që lind nga zbatimi i kësaj regulloreje do të trajtohet nga departamenti juridik i kompanisë.</w:t>
      </w:r>
    </w:p>
    <w:p w14:paraId="59D9169F" w14:textId="77777777" w:rsidR="00AE66D5" w:rsidRDefault="00FF3A33" w:rsidP="00FF3A33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br/>
      </w:r>
    </w:p>
    <w:p w14:paraId="27D45694" w14:textId="77777777" w:rsidR="00AE66D5" w:rsidRDefault="00AE66D5" w:rsidP="00FF3A33">
      <w:pPr>
        <w:rPr>
          <w:rFonts w:ascii="Nunito" w:eastAsia="Calibri" w:hAnsi="Nunito" w:cs="Calibri"/>
          <w:sz w:val="20"/>
          <w:szCs w:val="20"/>
        </w:rPr>
      </w:pPr>
    </w:p>
    <w:p w14:paraId="5BAD2D88" w14:textId="77777777" w:rsidR="00AE66D5" w:rsidRDefault="00AE66D5" w:rsidP="00FF3A33">
      <w:pPr>
        <w:rPr>
          <w:rFonts w:ascii="Nunito" w:eastAsia="Calibri" w:hAnsi="Nunito" w:cs="Calibri"/>
          <w:sz w:val="20"/>
          <w:szCs w:val="20"/>
        </w:rPr>
      </w:pPr>
    </w:p>
    <w:p w14:paraId="7912A71D" w14:textId="180A3C04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br/>
        <w:t>______________________</w:t>
      </w:r>
      <w:r>
        <w:rPr>
          <w:rFonts w:ascii="Nunito" w:eastAsia="Calibri" w:hAnsi="Nunito" w:cs="Calibri"/>
          <w:sz w:val="20"/>
          <w:szCs w:val="20"/>
        </w:rPr>
        <w:br/>
      </w:r>
    </w:p>
    <w:p w14:paraId="5BA204EF" w14:textId="77777777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 w:rsidRPr="0099336D">
        <w:rPr>
          <w:rFonts w:ascii="Nunito" w:eastAsia="Calibri" w:hAnsi="Nunito" w:cs="Calibri"/>
          <w:sz w:val="20"/>
          <w:szCs w:val="20"/>
        </w:rPr>
        <w:t>Drejtori Ekzekutiv:</w:t>
      </w:r>
    </w:p>
    <w:p w14:paraId="71A43956" w14:textId="77777777" w:rsidR="00FF3A33" w:rsidRPr="0099336D" w:rsidRDefault="00FF3A33" w:rsidP="00FF3A33">
      <w:pPr>
        <w:rPr>
          <w:rFonts w:ascii="Nunito" w:eastAsia="Calibri" w:hAnsi="Nunito" w:cs="Calibri"/>
          <w:sz w:val="20"/>
          <w:szCs w:val="20"/>
        </w:rPr>
      </w:pPr>
      <w:r>
        <w:rPr>
          <w:rFonts w:ascii="Nunito" w:eastAsia="Calibri" w:hAnsi="Nunito" w:cs="Calibri"/>
          <w:sz w:val="20"/>
          <w:szCs w:val="20"/>
        </w:rPr>
        <w:t>Kujtim Hajredini</w:t>
      </w:r>
    </w:p>
    <w:p w14:paraId="0AD65363" w14:textId="19A564A4" w:rsidR="00CB36B8" w:rsidRPr="00FF3A33" w:rsidRDefault="00CB36B8" w:rsidP="00FF3A33">
      <w:pPr>
        <w:rPr>
          <w:rFonts w:ascii="Nunito" w:eastAsia="Calibri" w:hAnsi="Nunito" w:cs="Calibri"/>
          <w:sz w:val="20"/>
          <w:szCs w:val="20"/>
        </w:rPr>
      </w:pPr>
    </w:p>
    <w:sectPr w:rsidR="00CB36B8" w:rsidRPr="00FF3A33">
      <w:type w:val="continuous"/>
      <w:pgSz w:w="12240" w:h="15840"/>
      <w:pgMar w:top="1440" w:right="1800" w:bottom="1440" w:left="180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FDA4A" w14:textId="77777777" w:rsidR="00094064" w:rsidRDefault="00094064">
      <w:r>
        <w:separator/>
      </w:r>
    </w:p>
  </w:endnote>
  <w:endnote w:type="continuationSeparator" w:id="0">
    <w:p w14:paraId="5B94283D" w14:textId="77777777" w:rsidR="00094064" w:rsidRDefault="0009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F445ACA9-E3B5-42CC-83CE-601238417F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2AE9BBC0-968A-42E7-86C1-2837FB3605C2}"/>
    <w:embedBold r:id="rId3" w:fontKey="{11304FC3-6DB9-4359-911A-B7D2482DBE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DE93ECB-E885-4624-935D-0029F42CD25C}"/>
    <w:embedItalic r:id="rId5" w:fontKey="{C833DC8B-AD91-4E70-99AF-51BD7292452F}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6" w:fontKey="{0264C52D-7D42-4004-A7B2-DF41913F26C2}"/>
    <w:embedBold r:id="rId7" w:fontKey="{A6C71321-B87E-4A66-8F6F-6E707324B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46A17FA-0AE0-4B7E-B9A2-25EB02E4DC75}"/>
    <w:embedBold r:id="rId9" w:fontKey="{B7A19E16-B18E-484D-8DE7-2F4EFDF54457}"/>
    <w:embedItalic r:id="rId10" w:fontKey="{0D0DF104-F305-4756-8677-5C81DE71E8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1591C43-8A16-488D-94BF-102E0AE07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D23BE" w14:textId="77777777" w:rsidR="00CB36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Calibri" w:eastAsia="Calibri" w:hAnsi="Calibri" w:cs="Calibri"/>
        <w:i/>
        <w:color w:val="000000"/>
        <w:sz w:val="18"/>
        <w:szCs w:val="18"/>
      </w:rPr>
    </w:pPr>
    <w:r>
      <w:rPr>
        <w:rFonts w:ascii="Calibri" w:eastAsia="Calibri" w:hAnsi="Calibri" w:cs="Calibri"/>
        <w:i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i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separate"/>
    </w:r>
    <w:r w:rsidR="00A033BA">
      <w:rPr>
        <w:rFonts w:ascii="Calibri" w:eastAsia="Calibri" w:hAnsi="Calibri" w:cs="Calibri"/>
        <w:i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i/>
        <w:color w:val="000000"/>
        <w:sz w:val="18"/>
        <w:szCs w:val="18"/>
      </w:rPr>
      <w:fldChar w:fldCharType="end"/>
    </w:r>
  </w:p>
  <w:p w14:paraId="3450F9AE" w14:textId="77777777" w:rsidR="00CB36B8" w:rsidRDefault="00CB36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A6069F" w14:textId="77777777" w:rsidR="00094064" w:rsidRDefault="00094064">
      <w:r>
        <w:separator/>
      </w:r>
    </w:p>
  </w:footnote>
  <w:footnote w:type="continuationSeparator" w:id="0">
    <w:p w14:paraId="135397AF" w14:textId="77777777" w:rsidR="00094064" w:rsidRDefault="00094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D3B44"/>
    <w:multiLevelType w:val="multilevel"/>
    <w:tmpl w:val="A4B2AD8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F24C3D"/>
    <w:multiLevelType w:val="multilevel"/>
    <w:tmpl w:val="E5E647DE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5B6DEA"/>
    <w:multiLevelType w:val="multilevel"/>
    <w:tmpl w:val="CF0223C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D14D96"/>
    <w:multiLevelType w:val="multilevel"/>
    <w:tmpl w:val="85127F3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E833EF"/>
    <w:multiLevelType w:val="multilevel"/>
    <w:tmpl w:val="474C95E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E36A3"/>
    <w:multiLevelType w:val="multilevel"/>
    <w:tmpl w:val="A5F0898A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84D5B"/>
    <w:multiLevelType w:val="multilevel"/>
    <w:tmpl w:val="A69E791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F4287"/>
    <w:multiLevelType w:val="multilevel"/>
    <w:tmpl w:val="F5045D3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2D3BC2"/>
    <w:multiLevelType w:val="multilevel"/>
    <w:tmpl w:val="8654EA1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4E3AF8"/>
    <w:multiLevelType w:val="multilevel"/>
    <w:tmpl w:val="07F6AEFC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4E5D71"/>
    <w:multiLevelType w:val="multilevel"/>
    <w:tmpl w:val="E4785288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04116">
    <w:abstractNumId w:val="8"/>
  </w:num>
  <w:num w:numId="2" w16cid:durableId="13575848">
    <w:abstractNumId w:val="3"/>
  </w:num>
  <w:num w:numId="3" w16cid:durableId="1847672832">
    <w:abstractNumId w:val="4"/>
  </w:num>
  <w:num w:numId="4" w16cid:durableId="1369263181">
    <w:abstractNumId w:val="10"/>
  </w:num>
  <w:num w:numId="5" w16cid:durableId="638265550">
    <w:abstractNumId w:val="5"/>
  </w:num>
  <w:num w:numId="6" w16cid:durableId="1336108136">
    <w:abstractNumId w:val="7"/>
  </w:num>
  <w:num w:numId="7" w16cid:durableId="905333680">
    <w:abstractNumId w:val="2"/>
  </w:num>
  <w:num w:numId="8" w16cid:durableId="1944067913">
    <w:abstractNumId w:val="6"/>
  </w:num>
  <w:num w:numId="9" w16cid:durableId="1551333397">
    <w:abstractNumId w:val="0"/>
  </w:num>
  <w:num w:numId="10" w16cid:durableId="245572695">
    <w:abstractNumId w:val="1"/>
  </w:num>
  <w:num w:numId="11" w16cid:durableId="17471902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6B8"/>
    <w:rsid w:val="00094064"/>
    <w:rsid w:val="00175FEC"/>
    <w:rsid w:val="002A367B"/>
    <w:rsid w:val="002F34E0"/>
    <w:rsid w:val="003836B7"/>
    <w:rsid w:val="004C5F82"/>
    <w:rsid w:val="004E4247"/>
    <w:rsid w:val="007A7121"/>
    <w:rsid w:val="007C0729"/>
    <w:rsid w:val="0099336D"/>
    <w:rsid w:val="00A033BA"/>
    <w:rsid w:val="00AE66D5"/>
    <w:rsid w:val="00C56700"/>
    <w:rsid w:val="00CB36B8"/>
    <w:rsid w:val="00CC34B1"/>
    <w:rsid w:val="00FF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F8F6C"/>
  <w15:docId w15:val="{0CFAF840-63A2-422C-85D4-FA2D7D4A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Garamond" w:eastAsia="Garamond" w:hAnsi="Garamond" w:cs="Garamond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720" w:firstLine="720"/>
      <w:outlineLvl w:val="4"/>
    </w:pPr>
    <w:rPr>
      <w:b/>
      <w:sz w:val="28"/>
      <w:szCs w:val="28"/>
      <w:u w:val="singl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cp:lastPrinted>2024-07-19T09:54:00Z</cp:lastPrinted>
  <dcterms:created xsi:type="dcterms:W3CDTF">2024-07-19T09:52:00Z</dcterms:created>
  <dcterms:modified xsi:type="dcterms:W3CDTF">2024-07-21T22:17:00Z</dcterms:modified>
</cp:coreProperties>
</file>